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B8191">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510170</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highlight w:val="none"/>
          <w:lang w:eastAsia="zh-CN"/>
        </w:rPr>
        <w:t>Bengaluru, India, August 25</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29</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cs="Times New Roman"/>
          <w:b/>
          <w:bCs/>
          <w:sz w:val="24"/>
          <w:highlight w:val="none"/>
        </w:rPr>
        <w:t>, 2025</w:t>
      </w:r>
    </w:p>
    <w:p w14:paraId="1616F9CF">
      <w:pPr>
        <w:tabs>
          <w:tab w:val="left" w:pos="1985"/>
        </w:tabs>
        <w:rPr>
          <w:rFonts w:ascii="Times New Roman" w:hAnsi="Times New Roman"/>
          <w:b/>
          <w:sz w:val="22"/>
          <w:highlight w:val="none"/>
        </w:rPr>
      </w:pPr>
    </w:p>
    <w:p w14:paraId="52487F0C">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100296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F665BAD">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testability and interoperability for AI/ML for mobility</w:t>
      </w:r>
    </w:p>
    <w:bookmarkEnd w:id="4"/>
    <w:bookmarkEnd w:id="5"/>
    <w:p w14:paraId="2F899A6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5F553CB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9CCD571">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38CA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65B48765">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1E1B0D8C">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6BDFF37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7CF88459">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71B936B1">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0F1548FE">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D5B017B">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2"/>
          <w:lang w:val="en-US" w:eastAsia="zh-CN"/>
        </w:rPr>
        <w:t>AI/ML for mobilit</w:t>
      </w:r>
      <w:r>
        <w:rPr>
          <w:rFonts w:hint="eastAsia" w:ascii="Times New Roman" w:hAnsi="Times New Roman"/>
          <w:sz w:val="22"/>
          <w:highlight w:val="none"/>
          <w:lang w:val="en-US" w:eastAsia="zh-CN"/>
        </w:rPr>
        <w:t>y</w:t>
      </w:r>
      <w:r>
        <w:rPr>
          <w:rFonts w:hint="eastAsia" w:ascii="Times New Roman" w:hAnsi="Times New Roman"/>
          <w:sz w:val="20"/>
          <w:szCs w:val="20"/>
          <w:lang w:val="en-US" w:eastAsia="zh-CN"/>
        </w:rPr>
        <w:t xml:space="preserve">, and a WF was agreed [2].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testability and interoperability for AI/ML for mobility</w:t>
      </w:r>
      <w:r>
        <w:rPr>
          <w:rFonts w:hint="eastAsia" w:ascii="Times New Roman" w:hAnsi="Times New Roman"/>
          <w:sz w:val="20"/>
          <w:szCs w:val="20"/>
        </w:rPr>
        <w:t>.</w:t>
      </w:r>
    </w:p>
    <w:p w14:paraId="661AD13D">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7" w:name="OLE_LINK1"/>
      <w:bookmarkStart w:id="8" w:name="OLE_LINK2"/>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EEC0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05C4005">
            <w:pPr>
              <w:spacing w:before="180" w:after="180" w:line="240" w:lineRule="exact"/>
              <w:rPr>
                <w:rFonts w:hint="default" w:ascii="Times New Roman" w:hAnsi="Times New Roman" w:cs="Times New Roman"/>
                <w:b/>
                <w:bCs/>
                <w:sz w:val="20"/>
                <w:szCs w:val="20"/>
              </w:rPr>
            </w:pPr>
            <w:r>
              <w:rPr>
                <w:rFonts w:hint="default" w:ascii="Times New Roman" w:hAnsi="Times New Roman" w:cs="Times New Roman"/>
                <w:b/>
                <w:bCs/>
                <w:sz w:val="20"/>
                <w:szCs w:val="20"/>
              </w:rPr>
              <w:t>Issue 1-1-5: Ground Truth derivation in FR1</w:t>
            </w:r>
          </w:p>
          <w:p w14:paraId="1DE08558">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496844DB">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1 (OPPO):</w:t>
            </w:r>
          </w:p>
          <w:p w14:paraId="40264EC4">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 xml:space="preserve">Regarding the ground truth derivation in tests, the actual measurement report based on legacy procedure can be used. </w:t>
            </w:r>
          </w:p>
          <w:p w14:paraId="38EF985E">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(Xiaomi):</w:t>
            </w:r>
          </w:p>
          <w:p w14:paraId="5AB50EF6">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testing in FR1 RRM measurement prediction, the way the ground truth is extracted has impact on the testing procedure:</w:t>
            </w:r>
          </w:p>
          <w:p w14:paraId="6F0BD1C6">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If the ground truth of L3-RSRP is calculated by TE, new test procedure on how TE determine the ideal L3-RSRP need to be further studied.</w:t>
            </w:r>
          </w:p>
          <w:p w14:paraId="2A452029">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If the ground truth of L3-RSRP is reported by UE, the legacy test procedure can be taken as baseline.</w:t>
            </w:r>
          </w:p>
          <w:p w14:paraId="18A87A71">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3 (CMCC):</w:t>
            </w:r>
          </w:p>
          <w:p w14:paraId="34D8D5E0">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AI/ML mobility, how to get the ground truth for FR1 test is related with channel model used in the test.</w:t>
            </w:r>
          </w:p>
          <w:p w14:paraId="7D91C29F">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If AWGN is in use, the ground truth is available at TE</w:t>
            </w:r>
          </w:p>
          <w:p w14:paraId="7D9DAD15">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If fading channel in use, FFS</w:t>
            </w:r>
          </w:p>
          <w:p w14:paraId="65EE85D8">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(Samsung):</w:t>
            </w:r>
          </w:p>
          <w:p w14:paraId="0A918C75">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For FR1 RSRP prediction accuracy testing, the ideal RSRP (i.e., the ground truth) can be of the transmit power settled by TE in noise-free/high SNR test condition. </w:t>
            </w:r>
          </w:p>
          <w:p w14:paraId="4E0A3D0D">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A suitable test tolerance range of predicted accuracy gain should to be defined to consider the uncertainties, including e.g., filtering, channel fading condition, measurement samples, etc., as much as possible and to ensure UE will not pass the testing easily in parallel</w:t>
            </w:r>
          </w:p>
          <w:p w14:paraId="79D4E992">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FFS: How to define the test tolerance range</w:t>
            </w:r>
          </w:p>
          <w:p w14:paraId="5FB66C60">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If to define the ground truth by using the reported measurement value under certain conditions, at least the following issues should to be solved</w:t>
            </w:r>
          </w:p>
          <w:p w14:paraId="74688287">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UE cheating issue</w:t>
            </w:r>
          </w:p>
          <w:p w14:paraId="506344F2">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The SNR side condition requirement under the fast fading channel environment</w:t>
            </w:r>
          </w:p>
          <w:p w14:paraId="07BFE3D9">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Regarding the emulated SNR, to align the definition of high-SNR at each time instant under the fast fading channel condition, the following two solutions of controlling the noise/SNR can be done at TE</w:t>
            </w:r>
          </w:p>
          <w:p w14:paraId="6794B12E">
            <w:pPr>
              <w:pStyle w:val="12"/>
              <w:numPr>
                <w:ilvl w:val="3"/>
                <w:numId w:val="4"/>
              </w:numPr>
              <w:spacing w:before="120" w:after="120"/>
              <w:ind w:firstLineChars="0"/>
              <w:rPr>
                <w:rFonts w:hint="default" w:ascii="Times New Roman" w:hAnsi="Times New Roman" w:eastAsia="Yu Mincho" w:cs="Times New Roman"/>
                <w:sz w:val="20"/>
                <w:szCs w:val="20"/>
              </w:rPr>
            </w:pPr>
            <w:bookmarkStart w:id="9" w:name="_Hlk198207709"/>
            <w:r>
              <w:rPr>
                <w:rFonts w:hint="default" w:ascii="Times New Roman" w:hAnsi="Times New Roman" w:eastAsia="Yu Mincho" w:cs="Times New Roman"/>
                <w:sz w:val="20"/>
                <w:szCs w:val="20"/>
              </w:rPr>
              <w:t>The upper bound of signal power as the maximum available Tx power transmitted from TE, then control the level of artificial noise for target SNRs at different time instances</w:t>
            </w:r>
          </w:p>
          <w:p w14:paraId="4E5E1823">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Control the SNR and artificial noise dynamically with total power constraint for target SNRs at different time instances</w:t>
            </w:r>
          </w:p>
          <w:p w14:paraId="0AD0DC2C">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The testable SNR range in the test system and the assessment of the range shall be discussed</w:t>
            </w:r>
          </w:p>
          <w:bookmarkEnd w:id="9"/>
          <w:p w14:paraId="4F51BA44">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5 (Nokia):</w:t>
            </w:r>
          </w:p>
          <w:p w14:paraId="32472A89">
            <w:pPr>
              <w:pStyle w:val="12"/>
              <w:numPr>
                <w:ilvl w:val="2"/>
                <w:numId w:val="4"/>
              </w:numPr>
              <w:spacing w:before="120" w:after="120"/>
              <w:ind w:firstLineChars="0"/>
              <w:rPr>
                <w:rFonts w:hint="default" w:ascii="Times New Roman" w:hAnsi="Times New Roman" w:eastAsia="Yu Mincho" w:cs="Times New Roman"/>
                <w:sz w:val="20"/>
                <w:szCs w:val="20"/>
              </w:rPr>
            </w:pPr>
            <w:bookmarkStart w:id="10" w:name="_Hlk198207810"/>
            <w:r>
              <w:rPr>
                <w:rFonts w:hint="default" w:ascii="Times New Roman" w:hAnsi="Times New Roman" w:eastAsia="Yu Mincho" w:cs="Times New Roman"/>
                <w:sz w:val="20"/>
                <w:szCs w:val="20"/>
              </w:rPr>
              <w:t>UE cheating should be identified through comparing various profiles, e.g., RSRP strength. TE shall draw RSRP strength against the distance and compare it with the profile reported by the UE. If there is significant difference between the two profiles, then it is concluded that UE is cheating.</w:t>
            </w:r>
          </w:p>
          <w:p w14:paraId="4F3D14BE">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 certain conditions, UE cheating should be identified through comparing the profiles, e.g., RSRP strength of one UE against the other UEs. UE is detected as cheating when one UE reports suspicious value, i.e., different than other UEs.</w:t>
            </w:r>
          </w:p>
          <w:bookmarkEnd w:id="10"/>
          <w:p w14:paraId="0CC627F1">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6 (Ericsson):</w:t>
            </w:r>
          </w:p>
          <w:p w14:paraId="0A479F48">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RAN4 to study and identify conditions under which the UE reported values can be used as ground truth in alternative 2 for FR1 testing for RRM measurement prediction. </w:t>
            </w:r>
          </w:p>
          <w:p w14:paraId="2AA47B25">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keep both alternatives open and have more discussion in the WI phase when issues related to availability of timing information related to measurement/prediction, and the point in the measurement model where the requirement will be applied for RRM measurement prediction are addressed.</w:t>
            </w:r>
          </w:p>
          <w:p w14:paraId="3702F023">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Capture analysis of alternatives for ground truth extraction in FR1 testing in Table 1 (in R4-2507669) in TR38.744.</w:t>
            </w:r>
          </w:p>
          <w:p w14:paraId="28ECCAA9">
            <w:pPr>
              <w:numPr>
                <w:ilvl w:val="1"/>
                <w:numId w:val="4"/>
              </w:numPr>
              <w:autoSpaceDE w:val="0"/>
              <w:autoSpaceDN w:val="0"/>
              <w:adjustRightInd w:val="0"/>
              <w:snapToGrid w:val="0"/>
              <w:spacing w:before="120" w:after="120"/>
              <w:ind w:left="1656"/>
              <w:jc w:val="both"/>
              <w:rPr>
                <w:rFonts w:hint="default" w:ascii="Times New Roman" w:hAnsi="Times New Roman" w:cs="Times New Roman"/>
                <w:iCs/>
                <w:sz w:val="20"/>
                <w:szCs w:val="20"/>
                <w:lang w:val="en-GB"/>
              </w:rPr>
            </w:pPr>
            <w:r>
              <w:rPr>
                <w:rFonts w:hint="default" w:ascii="Times New Roman" w:hAnsi="Times New Roman" w:eastAsia="Malgun Gothic" w:cs="Times New Roman"/>
                <w:iCs/>
                <w:sz w:val="20"/>
                <w:szCs w:val="20"/>
                <w:lang w:val="en-GB" w:eastAsia="ko-KR"/>
              </w:rPr>
              <w:t>Proposal 7 (Qualcomm):</w:t>
            </w:r>
          </w:p>
          <w:p w14:paraId="1F2786B2">
            <w:pPr>
              <w:numPr>
                <w:ilvl w:val="2"/>
                <w:numId w:val="4"/>
              </w:numPr>
              <w:autoSpaceDE w:val="0"/>
              <w:autoSpaceDN w:val="0"/>
              <w:adjustRightInd w:val="0"/>
              <w:snapToGrid w:val="0"/>
              <w:spacing w:before="120" w:after="120"/>
              <w:jc w:val="both"/>
              <w:rPr>
                <w:rFonts w:hint="default" w:ascii="Times New Roman" w:hAnsi="Times New Roman" w:cs="Times New Roman"/>
                <w:iCs/>
                <w:sz w:val="20"/>
                <w:szCs w:val="20"/>
                <w:lang w:val="en-GB"/>
              </w:rPr>
            </w:pPr>
            <w:r>
              <w:rPr>
                <w:rFonts w:hint="default" w:ascii="Times New Roman" w:hAnsi="Times New Roman" w:cs="Times New Roman"/>
                <w:iCs/>
                <w:sz w:val="20"/>
                <w:szCs w:val="20"/>
                <w:lang w:val="en-GB"/>
              </w:rPr>
              <w:t xml:space="preserve">RAN4 to further study the impact of time-varying channels and SNR variations due to fading and UE mobility on the definition of ground truth L3-RSRP. </w:t>
            </w:r>
          </w:p>
          <w:p w14:paraId="7B8BA1E6">
            <w:pPr>
              <w:numPr>
                <w:ilvl w:val="2"/>
                <w:numId w:val="4"/>
              </w:numPr>
              <w:autoSpaceDE w:val="0"/>
              <w:autoSpaceDN w:val="0"/>
              <w:adjustRightInd w:val="0"/>
              <w:snapToGrid w:val="0"/>
              <w:spacing w:before="120" w:after="120"/>
              <w:jc w:val="both"/>
              <w:rPr>
                <w:rFonts w:hint="default" w:ascii="Times New Roman" w:hAnsi="Times New Roman" w:cs="Times New Roman"/>
                <w:iCs/>
                <w:sz w:val="20"/>
                <w:szCs w:val="20"/>
                <w:lang w:val="en-GB"/>
              </w:rPr>
            </w:pPr>
            <w:r>
              <w:rPr>
                <w:rFonts w:hint="default" w:ascii="Times New Roman" w:hAnsi="Times New Roman" w:cs="Times New Roman"/>
                <w:iCs/>
                <w:sz w:val="20"/>
                <w:szCs w:val="20"/>
                <w:lang w:val="en-GB"/>
              </w:rPr>
              <w:t xml:space="preserve">RAN4 to consider the following approaches to </w:t>
            </w:r>
            <w:bookmarkStart w:id="11" w:name="_Hlk198207779"/>
            <w:r>
              <w:rPr>
                <w:rFonts w:hint="default" w:ascii="Times New Roman" w:hAnsi="Times New Roman" w:cs="Times New Roman"/>
                <w:iCs/>
                <w:sz w:val="20"/>
                <w:szCs w:val="20"/>
                <w:lang w:val="en-GB"/>
              </w:rPr>
              <w:t>avoid UE from cheating</w:t>
            </w:r>
            <w:bookmarkEnd w:id="11"/>
            <w:r>
              <w:rPr>
                <w:rFonts w:hint="default" w:ascii="Times New Roman" w:hAnsi="Times New Roman" w:cs="Times New Roman"/>
                <w:iCs/>
                <w:sz w:val="20"/>
                <w:szCs w:val="20"/>
                <w:lang w:val="en-GB"/>
              </w:rPr>
              <w:t xml:space="preserve"> the test, if the ground truth is defined based on the actual UE measurement report.</w:t>
            </w:r>
          </w:p>
          <w:p w14:paraId="36CEDCEE">
            <w:pPr>
              <w:numPr>
                <w:ilvl w:val="3"/>
                <w:numId w:val="4"/>
              </w:numPr>
              <w:autoSpaceDE w:val="0"/>
              <w:autoSpaceDN w:val="0"/>
              <w:adjustRightInd w:val="0"/>
              <w:snapToGrid w:val="0"/>
              <w:spacing w:before="120" w:after="120"/>
              <w:jc w:val="both"/>
              <w:rPr>
                <w:rFonts w:hint="default" w:ascii="Times New Roman" w:hAnsi="Times New Roman" w:cs="Times New Roman"/>
                <w:iCs/>
                <w:sz w:val="20"/>
                <w:szCs w:val="20"/>
                <w:lang w:val="en-GB"/>
              </w:rPr>
            </w:pPr>
            <w:r>
              <w:rPr>
                <w:rFonts w:hint="default" w:ascii="Times New Roman" w:hAnsi="Times New Roman" w:cs="Times New Roman"/>
                <w:iCs/>
                <w:sz w:val="20"/>
                <w:szCs w:val="20"/>
                <w:lang w:val="en-GB"/>
              </w:rPr>
              <w:t>Two neighbor cells: TE creates another cell with the same radio conditions to the extent possible (e.g., large-scale fading) as the target cell for the L3-RSRP prediction. Note that the channels between the two neighbor cells with the same set of configurations may still realize different instantaneous channel profiles. Thus, the exact same instantaneous channel may need to be applied to both neighbor cells.</w:t>
            </w:r>
          </w:p>
          <w:p w14:paraId="38FE715A">
            <w:pPr>
              <w:numPr>
                <w:ilvl w:val="3"/>
                <w:numId w:val="4"/>
              </w:numPr>
              <w:autoSpaceDE w:val="0"/>
              <w:autoSpaceDN w:val="0"/>
              <w:adjustRightInd w:val="0"/>
              <w:snapToGrid w:val="0"/>
              <w:spacing w:before="120" w:after="120"/>
              <w:jc w:val="both"/>
              <w:rPr>
                <w:rFonts w:hint="default" w:ascii="Times New Roman" w:hAnsi="Times New Roman" w:cs="Times New Roman"/>
                <w:iCs/>
                <w:sz w:val="20"/>
                <w:szCs w:val="20"/>
                <w:lang w:val="en-GB"/>
              </w:rPr>
            </w:pPr>
            <w:r>
              <w:rPr>
                <w:rFonts w:hint="default" w:ascii="Times New Roman" w:hAnsi="Times New Roman" w:cs="Times New Roman"/>
                <w:iCs/>
                <w:sz w:val="20"/>
                <w:szCs w:val="20"/>
                <w:lang w:val="en-GB"/>
              </w:rPr>
              <w:t>Two rounds of testing: TE runs two rounds of testing with the same configuration: one for the prediction-based L3-RSRP report and the other for the actual measurement-based L3-RSRP report. Note that the two tests might not expose the DUT to exactly the same channels, depending on the specific testing framework.</w:t>
            </w:r>
          </w:p>
          <w:p w14:paraId="47080FBA">
            <w:pPr>
              <w:numPr>
                <w:ilvl w:val="3"/>
                <w:numId w:val="4"/>
              </w:numPr>
              <w:autoSpaceDE w:val="0"/>
              <w:autoSpaceDN w:val="0"/>
              <w:adjustRightInd w:val="0"/>
              <w:snapToGrid w:val="0"/>
              <w:spacing w:before="120" w:after="120"/>
              <w:jc w:val="both"/>
              <w:rPr>
                <w:rFonts w:hint="default" w:ascii="Times New Roman" w:hAnsi="Times New Roman" w:cs="Times New Roman"/>
                <w:sz w:val="20"/>
                <w:szCs w:val="20"/>
                <w:lang w:val="en-US" w:eastAsia="zh-CN"/>
              </w:rPr>
            </w:pPr>
            <w:r>
              <w:rPr>
                <w:rFonts w:hint="default" w:ascii="Times New Roman" w:hAnsi="Times New Roman" w:cs="Times New Roman"/>
                <w:iCs/>
                <w:sz w:val="20"/>
                <w:szCs w:val="20"/>
                <w:lang w:val="en-GB"/>
              </w:rPr>
              <w:t>Note that the test framework also needs to consider how to verify UE LCM performance, if needed.</w:t>
            </w:r>
          </w:p>
        </w:tc>
      </w:tr>
    </w:tbl>
    <w:p w14:paraId="78E2C6B9">
      <w:pPr>
        <w:spacing w:before="180" w:after="180" w:line="240" w:lineRule="exact"/>
        <w:rPr>
          <w:rFonts w:hint="eastAsia" w:ascii="Times New Roman" w:hAnsi="Times New Roman"/>
          <w:sz w:val="20"/>
          <w:szCs w:val="20"/>
          <w:lang w:val="en-US" w:eastAsia="zh-CN"/>
        </w:rPr>
      </w:pPr>
    </w:p>
    <w:p w14:paraId="1086A71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It was agreed to consider conducted testing as baseline for testing in FR1. In legacy conducted test, the ground truth is the transmit power which can be settled by TE, which means that ground truth is available. According to the discussion in previous meeting, similar approach can not be used for FR1 AI/ML mobility, since issues are identified to assume transmitted power at TE as the ground truth for FR1. In legacy FR1 test case set up, there is no L3 filtering and the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xml:space="preserve">. However, for AI test, fading channel will be employed, which means there is channel fluctuation in the time domain. How UE perform L1/L3 filtering will have impact on the ideal RSRP. SinceTE has no such information, it is difficult for TE to derive the ground truth. </w:t>
      </w:r>
    </w:p>
    <w:p w14:paraId="7452DEE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This issue is related with which channel model us in use for test. If fading channel, e,g, TDL, is in use, above issues need to be solved to make sure TE can determine the ideal L3-RSRP. If above issues are not solved, reported value at high SNR can be considered as ideal, but there are UE cheating issue. If AWGN is in use, the situation is similar as legacy, it can be assumed that ground truth is available at TE. However, as discussed above, we are not sure whether AWGN is suitable for AI mobility tests.</w:t>
      </w:r>
    </w:p>
    <w:p w14:paraId="3C64A0D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AI/ML mobility, how to get the ground truth for FR1 test is related with channel model used in the test.</w:t>
      </w:r>
    </w:p>
    <w:p w14:paraId="79206350">
      <w:pPr>
        <w:numPr>
          <w:ilvl w:val="0"/>
          <w:numId w:val="5"/>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AWGN is in use, the ground truth is available at TE</w:t>
      </w:r>
    </w:p>
    <w:p w14:paraId="29A8C7DA">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fading channel in use, FFS</w:t>
      </w:r>
    </w:p>
    <w:p w14:paraId="001C75B3">
      <w:pPr>
        <w:numPr>
          <w:ilvl w:val="0"/>
          <w:numId w:val="0"/>
        </w:numPr>
        <w:spacing w:after="180" w:line="240" w:lineRule="exact"/>
        <w:ind w:leftChars="0"/>
        <w:rPr>
          <w:rFonts w:hint="default" w:ascii="Times New Roman" w:hAnsi="Times New Roman" w:eastAsia="等线"/>
          <w:b/>
          <w:bCs w:val="0"/>
          <w:i/>
          <w:iCs w:val="0"/>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690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0A2CFD5">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1-1-7: Testing goal</w:t>
            </w:r>
          </w:p>
          <w:p w14:paraId="4EDEC13A">
            <w:pPr>
              <w:rPr>
                <w:rFonts w:hint="default" w:ascii="Times New Roman" w:hAnsi="Times New Roman" w:cs="Times New Roman"/>
                <w:sz w:val="20"/>
                <w:szCs w:val="20"/>
              </w:rPr>
            </w:pPr>
            <w:r>
              <w:rPr>
                <w:rFonts w:hint="default" w:ascii="Times New Roman" w:hAnsi="Times New Roman" w:cs="Times New Roman"/>
                <w:b/>
                <w:sz w:val="20"/>
                <w:szCs w:val="20"/>
              </w:rPr>
              <w:t>&lt;Way forward &gt;</w:t>
            </w:r>
            <w:r>
              <w:rPr>
                <w:rFonts w:hint="default" w:ascii="Times New Roman" w:hAnsi="Times New Roman" w:cs="Times New Roman"/>
                <w:sz w:val="20"/>
                <w:szCs w:val="20"/>
              </w:rPr>
              <w:t xml:space="preserve">: </w:t>
            </w:r>
          </w:p>
          <w:p w14:paraId="0EA8413B">
            <w:pPr>
              <w:pStyle w:val="12"/>
              <w:numPr>
                <w:ilvl w:val="0"/>
                <w:numId w:val="4"/>
              </w:numPr>
              <w:spacing w:before="120" w:after="120"/>
              <w:ind w:firstLine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 xml:space="preserve">Discuss whether to further clarify the testing goal for measurement prediction use case, e.g,,  </w:t>
            </w:r>
          </w:p>
          <w:p w14:paraId="67DB2104">
            <w:pPr>
              <w:numPr>
                <w:ilvl w:val="1"/>
                <w:numId w:val="4"/>
              </w:numPr>
              <w:snapToGrid w:val="0"/>
              <w:spacing w:before="120" w:after="120"/>
              <w:rPr>
                <w:rFonts w:hint="default" w:ascii="Times New Roman" w:hAnsi="Times New Roman" w:cs="Times New Roman"/>
                <w:iCs/>
                <w:sz w:val="20"/>
                <w:szCs w:val="20"/>
              </w:rPr>
            </w:pPr>
            <w:r>
              <w:rPr>
                <w:rFonts w:hint="default" w:ascii="Times New Roman" w:hAnsi="Times New Roman" w:cs="Times New Roman"/>
                <w:iCs/>
                <w:sz w:val="20"/>
                <w:szCs w:val="20"/>
              </w:rPr>
              <w:t xml:space="preserve">The testing goal for measurement prediction is to verify: </w:t>
            </w:r>
          </w:p>
          <w:p w14:paraId="5C8E7337">
            <w:pPr>
              <w:numPr>
                <w:ilvl w:val="2"/>
                <w:numId w:val="4"/>
              </w:numPr>
              <w:snapToGrid w:val="0"/>
              <w:spacing w:before="120" w:after="120"/>
              <w:rPr>
                <w:rFonts w:hint="default" w:ascii="Times New Roman" w:hAnsi="Times New Roman" w:cs="Times New Roman"/>
                <w:iCs/>
                <w:sz w:val="20"/>
                <w:szCs w:val="20"/>
              </w:rPr>
            </w:pPr>
            <w:r>
              <w:rPr>
                <w:rFonts w:hint="default" w:ascii="Times New Roman" w:hAnsi="Times New Roman" w:cs="Times New Roman"/>
                <w:iCs/>
                <w:sz w:val="20"/>
                <w:szCs w:val="20"/>
              </w:rPr>
              <w:t>The reported measured results meet certain requirements under certain conditions</w:t>
            </w:r>
          </w:p>
          <w:p w14:paraId="5FE6D9DF">
            <w:pPr>
              <w:numPr>
                <w:ilvl w:val="2"/>
                <w:numId w:val="4"/>
              </w:numPr>
              <w:snapToGrid w:val="0"/>
              <w:spacing w:before="120" w:after="120"/>
              <w:rPr>
                <w:rFonts w:hint="default" w:ascii="Times New Roman" w:hAnsi="Times New Roman" w:cs="Times New Roman"/>
                <w:iCs/>
                <w:sz w:val="20"/>
                <w:szCs w:val="20"/>
              </w:rPr>
            </w:pPr>
            <w:r>
              <w:rPr>
                <w:rFonts w:hint="default" w:ascii="Times New Roman" w:hAnsi="Times New Roman" w:cs="Times New Roman"/>
                <w:iCs/>
                <w:sz w:val="20"/>
                <w:szCs w:val="20"/>
              </w:rPr>
              <w:t>The reported predicted results meet certain requirements under certain conditions</w:t>
            </w:r>
          </w:p>
          <w:p w14:paraId="3641387F">
            <w:pPr>
              <w:numPr>
                <w:ilvl w:val="1"/>
                <w:numId w:val="4"/>
              </w:numPr>
              <w:snapToGrid w:val="0"/>
              <w:spacing w:before="120" w:after="120"/>
              <w:rPr>
                <w:rFonts w:hint="default" w:ascii="Times New Roman" w:hAnsi="Times New Roman" w:cs="Times New Roman"/>
                <w:iCs/>
                <w:sz w:val="20"/>
                <w:szCs w:val="20"/>
              </w:rPr>
            </w:pPr>
            <w:r>
              <w:rPr>
                <w:rFonts w:hint="default" w:ascii="Times New Roman" w:hAnsi="Times New Roman" w:cs="Times New Roman"/>
                <w:iCs/>
                <w:sz w:val="20"/>
                <w:szCs w:val="20"/>
              </w:rPr>
              <w:t>Note: the requirements include core and performance requirements</w:t>
            </w:r>
          </w:p>
          <w:p w14:paraId="6D55FAB6">
            <w:pPr>
              <w:numPr>
                <w:ilvl w:val="1"/>
                <w:numId w:val="4"/>
              </w:numPr>
              <w:snapToGrid w:val="0"/>
              <w:spacing w:before="120" w:after="120"/>
              <w:rPr>
                <w:rFonts w:hint="default" w:ascii="Times New Roman" w:hAnsi="Times New Roman" w:cs="Times New Roman"/>
                <w:sz w:val="20"/>
                <w:szCs w:val="20"/>
                <w:vertAlign w:val="baseline"/>
                <w:lang w:val="en-US" w:eastAsia="zh-CN"/>
              </w:rPr>
            </w:pPr>
            <w:r>
              <w:rPr>
                <w:rFonts w:hint="default" w:ascii="Times New Roman" w:hAnsi="Times New Roman" w:cs="Times New Roman"/>
                <w:iCs/>
                <w:sz w:val="20"/>
                <w:szCs w:val="20"/>
              </w:rPr>
              <w:t>FFS the relative requirements for the difference between reported measured results and reported predicted results</w:t>
            </w:r>
          </w:p>
        </w:tc>
      </w:tr>
    </w:tbl>
    <w:p w14:paraId="002EC1B0">
      <w:pPr>
        <w:spacing w:before="180"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In RAN4 #113 meeting, it was agreed that as baseline, the testing goal is to verify whether the minimum performance of AI/ML functionality/feature can be achieved. From our point, this is highly principle, and no issues are observed to follow the previous agreement. And this testing goal is also applied to beam prediction for AI/ML for NR Air Interface. We prefer to follow previous agreements.</w:t>
      </w:r>
    </w:p>
    <w:p w14:paraId="4626A1C1">
      <w:pPr>
        <w:spacing w:before="180" w:after="180" w:line="240" w:lineRule="exact"/>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testing goal, it is proposed to follow previous agreements that the testing goal is to verify whether the minimum performance of AI/ML functionality/feature can be achieved.</w:t>
      </w:r>
    </w:p>
    <w:p w14:paraId="1934F939">
      <w:pPr>
        <w:spacing w:before="180" w:after="180" w:line="240" w:lineRule="exact"/>
        <w:rPr>
          <w:rFonts w:hint="eastAsia" w:ascii="Times New Roman" w:hAnsi="Times New Roman"/>
          <w:b/>
          <w:bCs/>
          <w:i/>
          <w:iCs/>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E3E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ED72B0B">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1-2-1: Testing Setup in FR2</w:t>
            </w:r>
          </w:p>
          <w:p w14:paraId="18AA9131">
            <w:pPr>
              <w:rPr>
                <w:rFonts w:hint="default" w:ascii="Times New Roman" w:hAnsi="Times New Roman" w:cs="Times New Roman"/>
                <w:sz w:val="20"/>
                <w:szCs w:val="20"/>
              </w:rPr>
            </w:pPr>
            <w:r>
              <w:rPr>
                <w:rFonts w:hint="default" w:ascii="Times New Roman" w:hAnsi="Times New Roman" w:cs="Times New Roman"/>
                <w:b/>
                <w:sz w:val="20"/>
                <w:szCs w:val="20"/>
              </w:rPr>
              <w:t>&lt;Way forward &gt;</w:t>
            </w:r>
            <w:r>
              <w:rPr>
                <w:rFonts w:hint="default" w:ascii="Times New Roman" w:hAnsi="Times New Roman" w:cs="Times New Roman"/>
                <w:sz w:val="20"/>
                <w:szCs w:val="20"/>
              </w:rPr>
              <w:t xml:space="preserve">: </w:t>
            </w:r>
          </w:p>
          <w:p w14:paraId="7ADE422F">
            <w:pPr>
              <w:pStyle w:val="12"/>
              <w:numPr>
                <w:ilvl w:val="0"/>
                <w:numId w:val="4"/>
              </w:numPr>
              <w:spacing w:before="120" w:after="120"/>
              <w:ind w:firstLine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 xml:space="preserve">For the testing setup for AI/ML mobility in FR1 and FR2, discuss the following configurations in the next meeting: </w:t>
            </w:r>
          </w:p>
          <w:p w14:paraId="3B9E0F18">
            <w:pPr>
              <w:pStyle w:val="12"/>
              <w:numPr>
                <w:ilvl w:val="1"/>
                <w:numId w:val="4"/>
              </w:numPr>
              <w:spacing w:before="120" w:after="120"/>
              <w:ind w:firstLine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Number of SSBs per cell</w:t>
            </w:r>
          </w:p>
          <w:p w14:paraId="39B5EC9A">
            <w:pPr>
              <w:pStyle w:val="12"/>
              <w:numPr>
                <w:ilvl w:val="1"/>
                <w:numId w:val="4"/>
              </w:numPr>
              <w:spacing w:before="120" w:after="120"/>
              <w:ind w:firstLine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Channel model</w:t>
            </w:r>
          </w:p>
          <w:p w14:paraId="1342A478">
            <w:pPr>
              <w:pStyle w:val="12"/>
              <w:numPr>
                <w:ilvl w:val="2"/>
                <w:numId w:val="4"/>
              </w:numPr>
              <w:spacing w:before="120" w:after="120"/>
              <w:ind w:firstLine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FFS the same or different for temporal/frequency domain prediction</w:t>
            </w:r>
          </w:p>
          <w:p w14:paraId="7EAC3EDF">
            <w:pPr>
              <w:pStyle w:val="12"/>
              <w:numPr>
                <w:ilvl w:val="1"/>
                <w:numId w:val="4"/>
              </w:numPr>
              <w:spacing w:before="120" w:after="120"/>
              <w:ind w:firstLine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Impact of UE trajectory</w:t>
            </w:r>
          </w:p>
          <w:p w14:paraId="30F4E274">
            <w:pPr>
              <w:pStyle w:val="12"/>
              <w:numPr>
                <w:ilvl w:val="2"/>
                <w:numId w:val="4"/>
              </w:numPr>
              <w:spacing w:before="120" w:after="120"/>
              <w:ind w:firstLine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FFS the same or different for temporal/frequency domain prediction</w:t>
            </w:r>
          </w:p>
          <w:p w14:paraId="3DA05648">
            <w:pPr>
              <w:pStyle w:val="12"/>
              <w:numPr>
                <w:ilvl w:val="1"/>
                <w:numId w:val="4"/>
              </w:numPr>
              <w:spacing w:before="120" w:after="120"/>
              <w:ind w:firstLine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Dynamic range of received power (consistency of channel)</w:t>
            </w:r>
          </w:p>
          <w:p w14:paraId="4B1ACF56">
            <w:pPr>
              <w:pStyle w:val="12"/>
              <w:numPr>
                <w:ilvl w:val="1"/>
                <w:numId w:val="4"/>
              </w:numPr>
              <w:spacing w:before="120" w:after="120"/>
              <w:ind w:firstLine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Measurement prediction specific parameters</w:t>
            </w:r>
          </w:p>
          <w:p w14:paraId="5E910582">
            <w:pPr>
              <w:pStyle w:val="12"/>
              <w:numPr>
                <w:ilvl w:val="1"/>
                <w:numId w:val="4"/>
              </w:numPr>
              <w:spacing w:before="120" w:after="120"/>
              <w:ind w:firstLine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Emulation of noise and EPRE</w:t>
            </w:r>
          </w:p>
          <w:p w14:paraId="5235DB17">
            <w:pPr>
              <w:pStyle w:val="12"/>
              <w:numPr>
                <w:ilvl w:val="1"/>
                <w:numId w:val="4"/>
              </w:numPr>
              <w:spacing w:before="120" w:after="120"/>
              <w:ind w:firstLineChars="0"/>
              <w:rPr>
                <w:rFonts w:hint="default" w:ascii="Times New Roman" w:hAnsi="Times New Roman" w:eastAsia="宋体" w:cs="Times New Roman"/>
                <w:iCs/>
                <w:sz w:val="20"/>
                <w:szCs w:val="20"/>
              </w:rPr>
            </w:pPr>
            <w:r>
              <w:rPr>
                <w:rFonts w:hint="default" w:ascii="Times New Roman" w:hAnsi="Times New Roman" w:eastAsia="宋体" w:cs="Times New Roman"/>
                <w:iCs/>
                <w:sz w:val="20"/>
                <w:szCs w:val="20"/>
              </w:rPr>
              <w:t>L3 filter coefficient</w:t>
            </w:r>
          </w:p>
          <w:p w14:paraId="2A8FC731">
            <w:pPr>
              <w:rPr>
                <w:rFonts w:hint="default" w:ascii="Times New Roman" w:hAnsi="Times New Roman" w:cs="Times New Roman"/>
                <w:sz w:val="20"/>
                <w:szCs w:val="20"/>
              </w:rPr>
            </w:pPr>
          </w:p>
          <w:p w14:paraId="4ADFDBC1">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1-2-2: Testing Setup in FR1</w:t>
            </w:r>
          </w:p>
          <w:p w14:paraId="36D1D624">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 xml:space="preserve">Refer to the way forward in issue 1-2-1. </w:t>
            </w:r>
          </w:p>
        </w:tc>
      </w:tr>
    </w:tbl>
    <w:p w14:paraId="00EA14AA">
      <w:pPr>
        <w:spacing w:before="180"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  </w:t>
      </w:r>
    </w:p>
    <w:p w14:paraId="47843C5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AI/ML beam management, the discussion whether TDL or CDL are on-going. For AI/ML beam management, beams of set B is used to predict beams of Set A. The spatial domain prediction require to learn the sufficient spatial domain characteristic, which means that sufficient randomness and variation in spatial domain in the test is necessary. From this point of view, CDL is prefered since CDL channel provides more spatial characteristics compared with TDL. However, the situation is not same for AI/ML for mobility.</w:t>
      </w:r>
    </w:p>
    <w:p w14:paraId="2B92DEF2">
      <w:pPr>
        <w:numPr>
          <w:ilvl w:val="0"/>
          <w:numId w:val="5"/>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BM-Case1: Spatial-domain Downlink beam prediction for Set A of beams based on measurement results of Set B of beams</w:t>
      </w:r>
    </w:p>
    <w:p w14:paraId="563AEBB2">
      <w:pPr>
        <w:numPr>
          <w:ilvl w:val="0"/>
          <w:numId w:val="5"/>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BM-Case2: Temporal Downlink beam prediction for Set A of beams based on the historic measurement results of Set B of beams</w:t>
      </w:r>
    </w:p>
    <w:p w14:paraId="40181D6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channel model for AI/ML mobility testing can be discussed case by case. For time domain RRM measurement prediction, the measurement results of cell or beam(s) in the measurement window are used to predict the results of same cell or beam(s) in prediction window. It can be seen that no spatial domain characteristics are consdiered. From this point of view, no need to consdiered CDL. On the other hand, time domain measurement prediction require time domain characteristics. AWGN, which is a deterministic channel, seems not suitable. Taking above into account, at least TDL can be used for time domain RRM measurement prediction. Whether AWGN can be used are FFS.</w:t>
      </w:r>
    </w:p>
    <w:p w14:paraId="1DD66B1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Frequency domain RRM measurement prediction focus on the case where cell to be measured and cell to be predicted are located in the same sector of either serving site or same neighbouring site. With the condition of co-located scenario and cell for measurement and cell for prediction are in the same sector, it seems no need to consider spatial domain characteristics. Similar as time domain RRM measurement prediction, at least TDL can be used, while AWGN are FFS.   </w:t>
      </w:r>
    </w:p>
    <w:p w14:paraId="5FB0ECA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FR1 time domain RRM measurement prediction and FR1 frequency domain RRM measurement prediction, at least TDL can be used for testing, FFS for AWGN.</w:t>
      </w:r>
    </w:p>
    <w:p w14:paraId="062B080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shown in Table 1, scenario 4, 5, 6 are for FR2 intra-frequency including time domain prediction and spatial domain prediction. Those cases are similar as that for AI/ML BM use case. AI/ML BM use case include two case: BM-Case1: Spatial-domain Downlink beam prediction for Set A of beams based on measurement results of Set B of beams, BM-Case2: Temporal Downlink beam prediction for Set A of beams based on the historic measurement results of Set B of beams. And test setup and methodology for the beam management, e.g. single AoA vs multiple AoA(s) , TDL vs CDL, are under discussion in AI/ML BM use case. Considering that the situation for AI/ML Mobility testing in FR2 is similar as that for AI/ML BM use case, the conclusion of later one can be used as baseline.</w:t>
      </w:r>
    </w:p>
    <w:p w14:paraId="71C2E8C0">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Table 1 </w:t>
      </w:r>
      <w:r>
        <w:rPr>
          <w:rFonts w:hint="default" w:ascii="Times New Roman" w:hAnsi="Times New Roman" w:cs="Times New Roman"/>
          <w:b w:val="0"/>
          <w:bCs/>
          <w:sz w:val="20"/>
          <w:szCs w:val="20"/>
        </w:rPr>
        <w:t>Prioritization of evaluation scenarios in RAN2</w:t>
      </w:r>
    </w:p>
    <w:tbl>
      <w:tblPr>
        <w:tblStyle w:val="10"/>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665C6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4932BBD">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Scenario number</w:t>
            </w:r>
          </w:p>
        </w:tc>
        <w:tc>
          <w:tcPr>
            <w:tcW w:w="1278" w:type="dxa"/>
            <w:tcBorders>
              <w:top w:val="single" w:color="auto" w:sz="4" w:space="0"/>
              <w:left w:val="single" w:color="auto" w:sz="4" w:space="0"/>
              <w:bottom w:val="single" w:color="auto" w:sz="4" w:space="0"/>
              <w:right w:val="single" w:color="auto" w:sz="4" w:space="0"/>
            </w:tcBorders>
          </w:tcPr>
          <w:p w14:paraId="588A8E6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 xml:space="preserve">Priority </w:t>
            </w:r>
          </w:p>
        </w:tc>
        <w:tc>
          <w:tcPr>
            <w:tcW w:w="3769" w:type="dxa"/>
            <w:tcBorders>
              <w:top w:val="single" w:color="auto" w:sz="4" w:space="0"/>
              <w:left w:val="single" w:color="auto" w:sz="4" w:space="0"/>
              <w:bottom w:val="single" w:color="auto" w:sz="4" w:space="0"/>
              <w:right w:val="single" w:color="auto" w:sz="4" w:space="0"/>
            </w:tcBorders>
          </w:tcPr>
          <w:p w14:paraId="7F6E022E">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Evaluation scenario</w:t>
            </w:r>
          </w:p>
        </w:tc>
        <w:tc>
          <w:tcPr>
            <w:tcW w:w="1262" w:type="dxa"/>
            <w:tcBorders>
              <w:top w:val="single" w:color="auto" w:sz="4" w:space="0"/>
              <w:left w:val="single" w:color="auto" w:sz="4" w:space="0"/>
              <w:bottom w:val="single" w:color="auto" w:sz="4" w:space="0"/>
              <w:right w:val="single" w:color="auto" w:sz="4" w:space="0"/>
            </w:tcBorders>
          </w:tcPr>
          <w:p w14:paraId="0A2F90C8">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Target study goal</w:t>
            </w:r>
          </w:p>
        </w:tc>
        <w:tc>
          <w:tcPr>
            <w:tcW w:w="1339" w:type="dxa"/>
            <w:tcBorders>
              <w:top w:val="single" w:color="auto" w:sz="4" w:space="0"/>
              <w:left w:val="single" w:color="auto" w:sz="4" w:space="0"/>
              <w:bottom w:val="single" w:color="auto" w:sz="4" w:space="0"/>
              <w:right w:val="single" w:color="auto" w:sz="4" w:space="0"/>
            </w:tcBorders>
          </w:tcPr>
          <w:p w14:paraId="429AAAC5">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Methodology</w:t>
            </w:r>
          </w:p>
        </w:tc>
      </w:tr>
      <w:tr w14:paraId="73368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0E133862">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p>
        </w:tc>
        <w:tc>
          <w:tcPr>
            <w:tcW w:w="1278" w:type="dxa"/>
            <w:tcBorders>
              <w:top w:val="single" w:color="auto" w:sz="4" w:space="0"/>
              <w:left w:val="single" w:color="auto" w:sz="4" w:space="0"/>
              <w:bottom w:val="single" w:color="auto" w:sz="4" w:space="0"/>
              <w:right w:val="single" w:color="auto" w:sz="4" w:space="0"/>
            </w:tcBorders>
          </w:tcPr>
          <w:p w14:paraId="1BF4E2F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1B79C545">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1F7F044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6A36D4B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4418B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319896B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2</w:t>
            </w:r>
          </w:p>
        </w:tc>
        <w:tc>
          <w:tcPr>
            <w:tcW w:w="1278" w:type="dxa"/>
            <w:tcBorders>
              <w:top w:val="single" w:color="auto" w:sz="4" w:space="0"/>
              <w:left w:val="single" w:color="auto" w:sz="4" w:space="0"/>
              <w:bottom w:val="single" w:color="auto" w:sz="4" w:space="0"/>
              <w:right w:val="single" w:color="auto" w:sz="4" w:space="0"/>
            </w:tcBorders>
          </w:tcPr>
          <w:p w14:paraId="4D67F2A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High</w:t>
            </w:r>
          </w:p>
        </w:tc>
        <w:tc>
          <w:tcPr>
            <w:tcW w:w="3769" w:type="dxa"/>
            <w:tcBorders>
              <w:top w:val="single" w:color="auto" w:sz="4" w:space="0"/>
              <w:left w:val="single" w:color="auto" w:sz="4" w:space="0"/>
              <w:bottom w:val="single" w:color="auto" w:sz="4" w:space="0"/>
              <w:right w:val="single" w:color="auto" w:sz="4" w:space="0"/>
            </w:tcBorders>
          </w:tcPr>
          <w:p w14:paraId="2F2CDDBC">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733F046A">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1</w:t>
            </w:r>
            <w:r>
              <w:rPr>
                <w:rFonts w:hint="default" w:ascii="Times New Roman" w:hAnsi="Times New Roman" w:eastAsia="Yu Mincho" w:cs="Times New Roman"/>
                <w:b/>
                <w:bCs/>
                <w:sz w:val="20"/>
                <w:szCs w:val="20"/>
                <w:highlight w:val="none"/>
                <w:vertAlign w:val="superscript"/>
              </w:rPr>
              <w:t>st</w:t>
            </w:r>
            <w:r>
              <w:rPr>
                <w:rFonts w:hint="default" w:ascii="Times New Roman" w:hAnsi="Times New Roman" w:eastAsia="Yu Mincho" w:cs="Times New Roman"/>
                <w:b/>
                <w:bCs/>
                <w:sz w:val="20"/>
                <w:szCs w:val="20"/>
                <w:highlight w:val="none"/>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6249731A">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vertAlign w:val="superscript"/>
              </w:rPr>
            </w:pPr>
            <w:r>
              <w:rPr>
                <w:rFonts w:hint="default" w:ascii="Times New Roman" w:hAnsi="Times New Roman" w:eastAsia="Yu Mincho" w:cs="Times New Roman"/>
                <w:b/>
                <w:bCs/>
                <w:sz w:val="20"/>
                <w:szCs w:val="20"/>
                <w:highlight w:val="none"/>
              </w:rPr>
              <w:t>Intra-cell</w:t>
            </w:r>
          </w:p>
        </w:tc>
      </w:tr>
      <w:tr w14:paraId="2C25C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1D6AF1A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3</w:t>
            </w:r>
          </w:p>
        </w:tc>
        <w:tc>
          <w:tcPr>
            <w:tcW w:w="1278" w:type="dxa"/>
            <w:tcBorders>
              <w:top w:val="single" w:color="auto" w:sz="4" w:space="0"/>
              <w:left w:val="single" w:color="auto" w:sz="4" w:space="0"/>
              <w:bottom w:val="single" w:color="auto" w:sz="4" w:space="0"/>
              <w:right w:val="single" w:color="auto" w:sz="4" w:space="0"/>
            </w:tcBorders>
          </w:tcPr>
          <w:p w14:paraId="1150293F">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High</w:t>
            </w:r>
          </w:p>
        </w:tc>
        <w:tc>
          <w:tcPr>
            <w:tcW w:w="3769" w:type="dxa"/>
            <w:tcBorders>
              <w:top w:val="single" w:color="auto" w:sz="4" w:space="0"/>
              <w:left w:val="single" w:color="auto" w:sz="4" w:space="0"/>
              <w:bottom w:val="single" w:color="auto" w:sz="4" w:space="0"/>
              <w:right w:val="single" w:color="auto" w:sz="4" w:space="0"/>
            </w:tcBorders>
          </w:tcPr>
          <w:p w14:paraId="33A30615">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5630D84D">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1</w:t>
            </w:r>
            <w:r>
              <w:rPr>
                <w:rFonts w:hint="default" w:ascii="Times New Roman" w:hAnsi="Times New Roman" w:eastAsia="Yu Mincho" w:cs="Times New Roman"/>
                <w:b/>
                <w:bCs/>
                <w:sz w:val="20"/>
                <w:szCs w:val="20"/>
                <w:highlight w:val="none"/>
                <w:vertAlign w:val="superscript"/>
              </w:rPr>
              <w:t>st</w:t>
            </w:r>
            <w:r>
              <w:rPr>
                <w:rFonts w:hint="default" w:ascii="Times New Roman" w:hAnsi="Times New Roman" w:eastAsia="Yu Mincho" w:cs="Times New Roman"/>
                <w:b/>
                <w:bCs/>
                <w:sz w:val="20"/>
                <w:szCs w:val="20"/>
                <w:highlight w:val="none"/>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351568E5">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 xml:space="preserve">Inter-cell </w:t>
            </w:r>
          </w:p>
        </w:tc>
      </w:tr>
      <w:tr w14:paraId="10E21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1B66B5B5">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4</w:t>
            </w:r>
          </w:p>
        </w:tc>
        <w:tc>
          <w:tcPr>
            <w:tcW w:w="1278" w:type="dxa"/>
            <w:tcBorders>
              <w:top w:val="single" w:color="auto" w:sz="4" w:space="0"/>
              <w:left w:val="single" w:color="auto" w:sz="4" w:space="0"/>
              <w:bottom w:val="single" w:color="auto" w:sz="4" w:space="0"/>
              <w:right w:val="single" w:color="auto" w:sz="4" w:space="0"/>
            </w:tcBorders>
          </w:tcPr>
          <w:p w14:paraId="6428ADE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High</w:t>
            </w:r>
          </w:p>
        </w:tc>
        <w:tc>
          <w:tcPr>
            <w:tcW w:w="3769" w:type="dxa"/>
            <w:tcBorders>
              <w:top w:val="single" w:color="auto" w:sz="4" w:space="0"/>
              <w:left w:val="single" w:color="auto" w:sz="4" w:space="0"/>
              <w:bottom w:val="single" w:color="auto" w:sz="4" w:space="0"/>
              <w:right w:val="single" w:color="auto" w:sz="4" w:space="0"/>
            </w:tcBorders>
          </w:tcPr>
          <w:p w14:paraId="231E226C">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77AF76EC">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2</w:t>
            </w:r>
            <w:r>
              <w:rPr>
                <w:rFonts w:hint="default" w:ascii="Times New Roman" w:hAnsi="Times New Roman" w:eastAsia="Yu Mincho" w:cs="Times New Roman"/>
                <w:b/>
                <w:bCs/>
                <w:sz w:val="20"/>
                <w:szCs w:val="20"/>
                <w:highlight w:val="none"/>
                <w:vertAlign w:val="superscript"/>
              </w:rPr>
              <w:t>nd</w:t>
            </w:r>
            <w:r>
              <w:rPr>
                <w:rFonts w:hint="default" w:ascii="Times New Roman" w:hAnsi="Times New Roman" w:eastAsia="Yu Mincho" w:cs="Times New Roman"/>
                <w:b/>
                <w:bCs/>
                <w:sz w:val="20"/>
                <w:szCs w:val="20"/>
                <w:highlight w:val="none"/>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7A7D12BA">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highlight w:val="none"/>
              </w:rPr>
            </w:pPr>
            <w:r>
              <w:rPr>
                <w:rFonts w:hint="default" w:ascii="Times New Roman" w:hAnsi="Times New Roman" w:eastAsia="Yu Mincho" w:cs="Times New Roman"/>
                <w:b/>
                <w:bCs/>
                <w:sz w:val="20"/>
                <w:szCs w:val="20"/>
                <w:highlight w:val="none"/>
              </w:rPr>
              <w:t>Intra-cell</w:t>
            </w:r>
          </w:p>
        </w:tc>
      </w:tr>
      <w:tr w14:paraId="5328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D2AFF0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5</w:t>
            </w:r>
          </w:p>
        </w:tc>
        <w:tc>
          <w:tcPr>
            <w:tcW w:w="1278" w:type="dxa"/>
            <w:tcBorders>
              <w:top w:val="single" w:color="auto" w:sz="4" w:space="0"/>
              <w:left w:val="single" w:color="auto" w:sz="4" w:space="0"/>
              <w:bottom w:val="single" w:color="auto" w:sz="4" w:space="0"/>
              <w:right w:val="single" w:color="auto" w:sz="4" w:space="0"/>
            </w:tcBorders>
          </w:tcPr>
          <w:p w14:paraId="54560D9B">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3EA1388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764F475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73A6E182">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4470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5818255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6</w:t>
            </w:r>
          </w:p>
        </w:tc>
        <w:tc>
          <w:tcPr>
            <w:tcW w:w="1278" w:type="dxa"/>
            <w:tcBorders>
              <w:top w:val="single" w:color="auto" w:sz="4" w:space="0"/>
              <w:left w:val="single" w:color="auto" w:sz="4" w:space="0"/>
              <w:bottom w:val="single" w:color="auto" w:sz="4" w:space="0"/>
              <w:right w:val="single" w:color="auto" w:sz="4" w:space="0"/>
            </w:tcBorders>
          </w:tcPr>
          <w:p w14:paraId="76969114">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Middle</w:t>
            </w:r>
          </w:p>
        </w:tc>
        <w:tc>
          <w:tcPr>
            <w:tcW w:w="3769" w:type="dxa"/>
            <w:tcBorders>
              <w:top w:val="single" w:color="auto" w:sz="4" w:space="0"/>
              <w:left w:val="single" w:color="auto" w:sz="4" w:space="0"/>
              <w:bottom w:val="single" w:color="auto" w:sz="4" w:space="0"/>
              <w:right w:val="single" w:color="auto" w:sz="4" w:space="0"/>
            </w:tcBorders>
          </w:tcPr>
          <w:p w14:paraId="5477BAE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spatial domain</w:t>
            </w:r>
          </w:p>
        </w:tc>
        <w:tc>
          <w:tcPr>
            <w:tcW w:w="1262" w:type="dxa"/>
            <w:tcBorders>
              <w:top w:val="single" w:color="auto" w:sz="4" w:space="0"/>
              <w:left w:val="single" w:color="auto" w:sz="4" w:space="0"/>
              <w:bottom w:val="single" w:color="auto" w:sz="4" w:space="0"/>
              <w:right w:val="single" w:color="auto" w:sz="4" w:space="0"/>
            </w:tcBorders>
          </w:tcPr>
          <w:p w14:paraId="5BD5B969">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6BACD4B">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bl>
    <w:p w14:paraId="1EF61B29">
      <w:pPr>
        <w:spacing w:after="180" w:line="240" w:lineRule="exact"/>
        <w:rPr>
          <w:rFonts w:hint="default" w:ascii="Times New Roman" w:hAnsi="Times New Roman" w:eastAsia="等线"/>
          <w:bCs/>
          <w:iCs/>
          <w:sz w:val="20"/>
          <w:szCs w:val="20"/>
          <w:lang w:val="en-US" w:eastAsia="zh-CN"/>
        </w:rPr>
      </w:pPr>
    </w:p>
    <w:p w14:paraId="4D6E4A3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FR2 spatial domain RRM measurement prediction, it is proposed to take the outcome of AI/ML BM as baseline. </w:t>
      </w:r>
    </w:p>
    <w:p w14:paraId="19F51B8E">
      <w:pPr>
        <w:spacing w:before="180" w:after="180" w:line="240" w:lineRule="exact"/>
        <w:rPr>
          <w:rFonts w:hint="eastAsia" w:ascii="Times New Roman" w:hAnsi="Times New Roman"/>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4EE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08FEF43">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1-2-4: Testing Setup for inter-frequency prediction</w:t>
            </w:r>
          </w:p>
          <w:p w14:paraId="4CDAA6FE">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7B454D50">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cs="Times New Roman" w:eastAsiaTheme="minorEastAsia"/>
                <w:sz w:val="20"/>
                <w:szCs w:val="20"/>
                <w:lang w:eastAsia="zh-CN"/>
              </w:rPr>
              <w:t xml:space="preserve">Proposal 1 (OPPO): </w:t>
            </w:r>
          </w:p>
          <w:p w14:paraId="299F48B1">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For inter frequency measurement prediction, more than 3 cells are needed if cluster approach is assumed and the exact number can be decided in WI stage according to the requirements discussion. </w:t>
            </w:r>
          </w:p>
          <w:p w14:paraId="15DD62D6">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cs="Times New Roman" w:eastAsiaTheme="minorEastAsia"/>
                <w:sz w:val="20"/>
                <w:szCs w:val="20"/>
                <w:lang w:eastAsia="zh-CN"/>
              </w:rPr>
              <w:t xml:space="preserve">Proposal 2 (Xiaomi): </w:t>
            </w:r>
          </w:p>
          <w:p w14:paraId="0AE26002">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the scenario of FR1 to FR1 inter-frequency inter-cell frequency domain scenario, the legacy test procedure can be taken as baseline for single cell prediction. FFS for multi-cells prediction.</w:t>
            </w:r>
          </w:p>
          <w:p w14:paraId="5B68CB46">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cs="Times New Roman" w:eastAsiaTheme="minorEastAsia"/>
                <w:sz w:val="20"/>
                <w:szCs w:val="20"/>
                <w:lang w:eastAsia="zh-CN"/>
              </w:rPr>
              <w:t xml:space="preserve">Proposal 3 (CATT): </w:t>
            </w:r>
          </w:p>
          <w:p w14:paraId="5E4B1AC3">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 cells are enough if single-cell approach is adopted and more cells are needed if cluster approach is used. RAN4 can decide the exact number in WI phase.</w:t>
            </w:r>
          </w:p>
          <w:p w14:paraId="522ED9A2">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cs="Times New Roman" w:eastAsiaTheme="minorEastAsia"/>
                <w:sz w:val="20"/>
                <w:szCs w:val="20"/>
                <w:lang w:eastAsia="zh-CN"/>
              </w:rPr>
              <w:t xml:space="preserve">Proposal 4 (MTK): </w:t>
            </w:r>
          </w:p>
          <w:p w14:paraId="0B117FF1">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inter-cell case is Scenario 3 (FR1 to FR1 inter-frequency (frequency domain)), prefer to reuse the same cell layout adopted in RAN2 evaluations.  It is sufficient for TE to transmit the strongest 8 intra-f cells (serving cell included) of the 21 cells during the test.</w:t>
            </w:r>
          </w:p>
          <w:p w14:paraId="610CD4FC">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cs="Times New Roman" w:eastAsiaTheme="minorEastAsia"/>
                <w:sz w:val="20"/>
                <w:szCs w:val="20"/>
                <w:lang w:eastAsia="zh-CN"/>
              </w:rPr>
              <w:t xml:space="preserve">Proposal 5 (vivo): </w:t>
            </w:r>
          </w:p>
          <w:p w14:paraId="62D70819">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For the cluster-based approach used inter-frequency prediction, multiple cells are needed for inter-cell RRM measurement prediction/event prediction. And RAN4 need to study for this case. </w:t>
            </w:r>
          </w:p>
          <w:p w14:paraId="48580CC0">
            <w:pPr>
              <w:pStyle w:val="12"/>
              <w:numPr>
                <w:ilvl w:val="1"/>
                <w:numId w:val="4"/>
              </w:numPr>
              <w:spacing w:before="120" w:after="120"/>
              <w:ind w:left="1656" w:firstLineChars="0"/>
              <w:rPr>
                <w:rFonts w:hint="default" w:ascii="Times New Roman" w:hAnsi="Times New Roman" w:eastAsia="Yu Mincho" w:cs="Times New Roman"/>
                <w:sz w:val="20"/>
                <w:szCs w:val="20"/>
              </w:rPr>
            </w:pPr>
            <w:r>
              <w:rPr>
                <w:rFonts w:hint="default" w:ascii="Times New Roman" w:hAnsi="Times New Roman" w:cs="Times New Roman" w:eastAsiaTheme="minorEastAsia"/>
                <w:sz w:val="20"/>
                <w:szCs w:val="20"/>
                <w:lang w:eastAsia="zh-CN"/>
              </w:rPr>
              <w:t xml:space="preserve">Proposal 6 (ZTE): </w:t>
            </w:r>
          </w:p>
          <w:p w14:paraId="371EB800">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cluster based approach in the frequency domain prediction, prefer to consider more than 2 cells setup in the test, including serving cell and neighbor cells.</w:t>
            </w:r>
          </w:p>
          <w:p w14:paraId="386C1DF9">
            <w:pPr>
              <w:numPr>
                <w:ilvl w:val="1"/>
                <w:numId w:val="4"/>
              </w:numPr>
              <w:autoSpaceDE w:val="0"/>
              <w:autoSpaceDN w:val="0"/>
              <w:adjustRightInd w:val="0"/>
              <w:snapToGrid w:val="0"/>
              <w:spacing w:before="120" w:after="120"/>
              <w:ind w:left="1656"/>
              <w:jc w:val="both"/>
              <w:rPr>
                <w:rFonts w:hint="default" w:ascii="Times New Roman" w:hAnsi="Times New Roman" w:cs="Times New Roman"/>
                <w:iCs/>
                <w:sz w:val="20"/>
                <w:szCs w:val="20"/>
                <w:lang w:val="en-GB"/>
              </w:rPr>
            </w:pPr>
            <w:r>
              <w:rPr>
                <w:rFonts w:hint="default" w:ascii="Times New Roman" w:hAnsi="Times New Roman" w:cs="Times New Roman"/>
                <w:iCs/>
                <w:sz w:val="20"/>
                <w:szCs w:val="20"/>
                <w:lang w:val="en-GB"/>
              </w:rPr>
              <w:t>Proposal 7 (CMCC):</w:t>
            </w:r>
          </w:p>
          <w:p w14:paraId="3948C9A2">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At least 2 cells are needed for inter-cell RRM measurement prediction</w:t>
            </w:r>
          </w:p>
          <w:p w14:paraId="157A93F2">
            <w:pPr>
              <w:numPr>
                <w:ilvl w:val="1"/>
                <w:numId w:val="4"/>
              </w:numPr>
              <w:autoSpaceDE w:val="0"/>
              <w:autoSpaceDN w:val="0"/>
              <w:adjustRightInd w:val="0"/>
              <w:snapToGrid w:val="0"/>
              <w:spacing w:before="120" w:after="120"/>
              <w:ind w:left="1656"/>
              <w:jc w:val="both"/>
              <w:rPr>
                <w:rFonts w:hint="default" w:ascii="Times New Roman" w:hAnsi="Times New Roman" w:cs="Times New Roman"/>
                <w:iCs/>
                <w:sz w:val="20"/>
                <w:szCs w:val="20"/>
                <w:lang w:val="en-GB"/>
              </w:rPr>
            </w:pPr>
            <w:r>
              <w:rPr>
                <w:rFonts w:hint="default" w:ascii="Times New Roman" w:hAnsi="Times New Roman" w:cs="Times New Roman"/>
                <w:iCs/>
                <w:sz w:val="20"/>
                <w:szCs w:val="20"/>
                <w:lang w:val="en-GB"/>
              </w:rPr>
              <w:t>Proposal 8 (Nokia):</w:t>
            </w:r>
          </w:p>
          <w:p w14:paraId="3B8C914F">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RAN4 should consider more than two cells for inter-frequency inter-cell scenario (i.e., scenario 3) in the test setup based on the RAN2 agreements. </w:t>
            </w:r>
          </w:p>
          <w:p w14:paraId="5B96D8D5">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For the cluster approach, at least two input cells are required that should be intra-frequency, non co-located cells and the target cell should be inter-frequency cell and co-located with one of the input cells. </w:t>
            </w:r>
          </w:p>
          <w:p w14:paraId="3984074D">
            <w:pPr>
              <w:numPr>
                <w:ilvl w:val="1"/>
                <w:numId w:val="4"/>
              </w:numPr>
              <w:autoSpaceDE w:val="0"/>
              <w:autoSpaceDN w:val="0"/>
              <w:adjustRightInd w:val="0"/>
              <w:snapToGrid w:val="0"/>
              <w:spacing w:before="120" w:after="120"/>
              <w:ind w:left="1656"/>
              <w:jc w:val="both"/>
              <w:rPr>
                <w:rFonts w:hint="default" w:ascii="Times New Roman" w:hAnsi="Times New Roman" w:cs="Times New Roman"/>
                <w:iCs/>
                <w:sz w:val="20"/>
                <w:szCs w:val="20"/>
                <w:lang w:val="en-GB"/>
              </w:rPr>
            </w:pPr>
            <w:r>
              <w:rPr>
                <w:rFonts w:hint="default" w:ascii="Times New Roman" w:hAnsi="Times New Roman" w:cs="Times New Roman"/>
                <w:iCs/>
                <w:sz w:val="20"/>
                <w:szCs w:val="20"/>
                <w:lang w:val="en-GB"/>
              </w:rPr>
              <w:t>Proposal 9 (</w:t>
            </w:r>
            <w:r>
              <w:rPr>
                <w:rFonts w:hint="default" w:ascii="Times New Roman" w:hAnsi="Times New Roman" w:cs="Times New Roman"/>
                <w:iCs/>
                <w:sz w:val="20"/>
                <w:szCs w:val="20"/>
                <w:lang w:val="en-GB" w:eastAsia="zh-CN"/>
              </w:rPr>
              <w:t>Ericsson</w:t>
            </w:r>
            <w:r>
              <w:rPr>
                <w:rFonts w:hint="default" w:ascii="Times New Roman" w:hAnsi="Times New Roman" w:cs="Times New Roman"/>
                <w:iCs/>
                <w:sz w:val="20"/>
                <w:szCs w:val="20"/>
                <w:lang w:val="en-GB"/>
              </w:rPr>
              <w:t>):</w:t>
            </w:r>
          </w:p>
          <w:p w14:paraId="7E82AA4A">
            <w:pPr>
              <w:numPr>
                <w:ilvl w:val="2"/>
                <w:numId w:val="4"/>
              </w:numPr>
              <w:autoSpaceDE w:val="0"/>
              <w:autoSpaceDN w:val="0"/>
              <w:adjustRightInd w:val="0"/>
              <w:snapToGrid w:val="0"/>
              <w:spacing w:before="120" w:after="120"/>
              <w:jc w:val="both"/>
              <w:rPr>
                <w:rFonts w:hint="default" w:ascii="Times New Roman" w:hAnsi="Times New Roman" w:cs="Times New Roman"/>
                <w:iCs/>
                <w:sz w:val="20"/>
                <w:szCs w:val="20"/>
                <w:lang w:val="en-GB"/>
              </w:rPr>
            </w:pPr>
            <w:r>
              <w:rPr>
                <w:rFonts w:hint="default" w:ascii="Times New Roman" w:hAnsi="Times New Roman" w:cs="Times New Roman"/>
                <w:iCs/>
                <w:sz w:val="20"/>
                <w:szCs w:val="20"/>
                <w:lang w:val="en-GB"/>
              </w:rPr>
              <w:t>2-cell setup is used to validate requirements for inter-cell prediction.</w:t>
            </w:r>
          </w:p>
          <w:p w14:paraId="75CBD2DD">
            <w:pPr>
              <w:numPr>
                <w:ilvl w:val="3"/>
                <w:numId w:val="4"/>
              </w:numPr>
              <w:autoSpaceDE w:val="0"/>
              <w:autoSpaceDN w:val="0"/>
              <w:adjustRightInd w:val="0"/>
              <w:snapToGrid w:val="0"/>
              <w:spacing w:before="120" w:after="120"/>
              <w:jc w:val="both"/>
              <w:rPr>
                <w:rFonts w:hint="default" w:ascii="Times New Roman" w:hAnsi="Times New Roman" w:cs="Times New Roman"/>
                <w:iCs/>
                <w:sz w:val="20"/>
                <w:szCs w:val="20"/>
                <w:lang w:val="en-GB"/>
              </w:rPr>
            </w:pPr>
            <w:r>
              <w:rPr>
                <w:rFonts w:hint="default" w:ascii="Times New Roman" w:hAnsi="Times New Roman" w:cs="Times New Roman"/>
                <w:iCs/>
                <w:sz w:val="20"/>
                <w:szCs w:val="20"/>
                <w:lang w:val="en-GB"/>
              </w:rPr>
              <w:t>Cell 1 in the test can be considered as the cell for measurement.</w:t>
            </w:r>
          </w:p>
          <w:p w14:paraId="2E910B3D">
            <w:pPr>
              <w:numPr>
                <w:ilvl w:val="3"/>
                <w:numId w:val="4"/>
              </w:numPr>
              <w:autoSpaceDE w:val="0"/>
              <w:autoSpaceDN w:val="0"/>
              <w:adjustRightInd w:val="0"/>
              <w:snapToGrid w:val="0"/>
              <w:spacing w:before="120" w:after="120"/>
              <w:jc w:val="both"/>
              <w:rPr>
                <w:rFonts w:hint="default" w:ascii="Times New Roman" w:hAnsi="Times New Roman" w:cs="Times New Roman"/>
                <w:sz w:val="20"/>
                <w:szCs w:val="20"/>
                <w:vertAlign w:val="baseline"/>
                <w:lang w:val="en-US" w:eastAsia="zh-CN"/>
              </w:rPr>
            </w:pPr>
            <w:r>
              <w:rPr>
                <w:rFonts w:hint="default" w:ascii="Times New Roman" w:hAnsi="Times New Roman" w:cs="Times New Roman"/>
                <w:iCs/>
                <w:sz w:val="20"/>
                <w:szCs w:val="20"/>
                <w:lang w:val="en-GB"/>
              </w:rPr>
              <w:t>Cell 2 in the test can be considered as the target cell for measurement prediction.</w:t>
            </w:r>
          </w:p>
        </w:tc>
      </w:tr>
    </w:tbl>
    <w:p w14:paraId="63E16AFA">
      <w:pPr>
        <w:spacing w:after="180" w:line="240" w:lineRule="exact"/>
        <w:rPr>
          <w:rFonts w:hint="eastAsia" w:ascii="Times New Roman" w:hAnsi="Times New Roman" w:eastAsia="等线"/>
          <w:bCs/>
          <w:iCs/>
          <w:sz w:val="20"/>
          <w:szCs w:val="20"/>
          <w:lang w:val="en-US" w:eastAsia="zh-CN"/>
        </w:rPr>
      </w:pPr>
    </w:p>
    <w:p w14:paraId="7BEBC520">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inter-frequency domain prediction, according to RAN2 discussion, for inter-frequency, RAN2 will focus on frequency domain for cluster based approach, since cluster as input (i.e. measurements from different cells as inputs) can improve the prediction accuracy than single cell as input. RAN2 agreed that in cluster approach the model takes measurements from more than one cell as inputs. In this way, at least two cells are needed as model input. RAN2 has no limitation on the number of cells as model output. Even if only one cell is predicted. In total 3 cells are needed. Taking above into account, RAN4 need to consider more than 2 cells for inter-cell RRM measurement prediction.</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CDF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0EE3B7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val="0"/>
                <w:iCs/>
                <w:sz w:val="20"/>
                <w:szCs w:val="20"/>
                <w:vertAlign w:val="baseline"/>
                <w:lang w:val="en-US" w:eastAsia="zh-CN"/>
              </w:rPr>
            </w:pPr>
            <w:r>
              <w:rPr>
                <w:rFonts w:hint="eastAsia" w:ascii="Times New Roman" w:hAnsi="Times New Roman" w:eastAsia="等线" w:cs="Times New Roman"/>
                <w:b/>
                <w:bCs w:val="0"/>
                <w:iCs/>
                <w:sz w:val="20"/>
                <w:szCs w:val="20"/>
                <w:vertAlign w:val="baseline"/>
                <w:lang w:val="en-US" w:eastAsia="zh-CN"/>
              </w:rPr>
              <w:t>RAN2 agreements in RAN2#128 meeting</w:t>
            </w:r>
          </w:p>
          <w:p w14:paraId="5E625CE9">
            <w:pPr>
              <w:pStyle w:val="12"/>
              <w:keepNext w:val="0"/>
              <w:keepLines w:val="0"/>
              <w:pageBreakBefore w:val="0"/>
              <w:widowControl/>
              <w:numPr>
                <w:ilvl w:val="0"/>
                <w:numId w:val="5"/>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The prediction accuracy for intra-frequency temporal domain case B reduces as MRRT increases.  </w:t>
            </w:r>
          </w:p>
          <w:p w14:paraId="1932E841">
            <w:pPr>
              <w:pStyle w:val="12"/>
              <w:keepNext w:val="0"/>
              <w:keepLines w:val="0"/>
              <w:pageBreakBefore w:val="0"/>
              <w:widowControl/>
              <w:numPr>
                <w:ilvl w:val="0"/>
                <w:numId w:val="5"/>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 affects the performance.  </w:t>
            </w:r>
          </w:p>
          <w:p w14:paraId="638ED583">
            <w:pPr>
              <w:pStyle w:val="12"/>
              <w:keepNext w:val="0"/>
              <w:keepLines w:val="0"/>
              <w:pageBreakBefore w:val="0"/>
              <w:widowControl/>
              <w:numPr>
                <w:ilvl w:val="0"/>
                <w:numId w:val="5"/>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the inter-frequency prediction, the evaluation results show that the higher the correlation coefficient is between two frequency layers, the higher the prediction accuracy.   FFS on observations on low correlations.  </w:t>
            </w:r>
          </w:p>
          <w:p w14:paraId="5192AAD4">
            <w:pPr>
              <w:pStyle w:val="12"/>
              <w:keepNext w:val="0"/>
              <w:keepLines w:val="0"/>
              <w:pageBreakBefore w:val="0"/>
              <w:widowControl/>
              <w:numPr>
                <w:ilvl w:val="0"/>
                <w:numId w:val="5"/>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inter-frequency, cluster as input (i.e. measurements from different cells as inputs )can improve the prediction accuracy than single cell as input.    For temporal domain, the gains are unclear.   RAN2 will focus on frequency domain for cluster based approach.   </w:t>
            </w:r>
          </w:p>
          <w:p w14:paraId="450EDCE8">
            <w:pPr>
              <w:pStyle w:val="12"/>
              <w:keepNext w:val="0"/>
              <w:keepLines w:val="0"/>
              <w:pageBreakBefore w:val="0"/>
              <w:widowControl/>
              <w:numPr>
                <w:ilvl w:val="0"/>
                <w:numId w:val="5"/>
              </w:numPr>
              <w:kinsoku/>
              <w:wordWrap/>
              <w:overflowPunct/>
              <w:topLinePunct w:val="0"/>
              <w:autoSpaceDE/>
              <w:autoSpaceDN/>
              <w:bidi w:val="0"/>
              <w:adjustRightInd/>
              <w:snapToGrid/>
              <w:spacing w:before="120" w:after="120"/>
              <w:ind w:left="420" w:leftChars="0" w:hanging="420" w:firstLineChars="0"/>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highlight w:val="cyan"/>
                <w:vertAlign w:val="baseline"/>
                <w:lang w:val="en-US" w:eastAsia="zh-CN"/>
              </w:rPr>
              <w:t>In cluster approach the model takes measurements from more than one cell as inputs.</w:t>
            </w:r>
          </w:p>
        </w:tc>
      </w:tr>
    </w:tbl>
    <w:p w14:paraId="487F54D3">
      <w:pPr>
        <w:spacing w:after="180" w:line="240" w:lineRule="exact"/>
        <w:rPr>
          <w:rFonts w:hint="eastAsia" w:ascii="Times New Roman" w:hAnsi="Times New Roman" w:eastAsia="等线"/>
          <w:bCs/>
          <w:iCs/>
          <w:sz w:val="20"/>
          <w:szCs w:val="20"/>
          <w:lang w:val="en-US" w:eastAsia="zh-CN"/>
        </w:rPr>
      </w:pPr>
    </w:p>
    <w:p w14:paraId="523EA8A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for inter-frequency domain prediction, it is proposed that at least 2 cells are needed as model input, since RAN2 focus on cluster based approach</w:t>
      </w:r>
    </w:p>
    <w:p w14:paraId="15D66954">
      <w:pPr>
        <w:spacing w:before="180" w:after="180" w:line="240" w:lineRule="exact"/>
        <w:rPr>
          <w:rFonts w:hint="eastAsia" w:ascii="Times New Roman" w:hAnsi="Times New Roman"/>
          <w:sz w:val="20"/>
          <w:szCs w:val="20"/>
          <w:lang w:val="en-US" w:eastAsia="zh-CN"/>
        </w:rPr>
      </w:pPr>
    </w:p>
    <w:bookmarkEnd w:id="7"/>
    <w:bookmarkEnd w:id="8"/>
    <w:p w14:paraId="5C18422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onclusion</w:t>
      </w:r>
    </w:p>
    <w:p w14:paraId="6404C5E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lang w:val="en-US" w:eastAsia="zh-CN"/>
        </w:rPr>
        <w:t>testability and interoperability for AI/ML for mobility</w:t>
      </w:r>
      <w:r>
        <w:rPr>
          <w:rFonts w:hint="eastAsia" w:ascii="Times New Roman" w:hAnsi="Times New Roman"/>
          <w:sz w:val="20"/>
          <w:szCs w:val="20"/>
        </w:rPr>
        <w:t>. The proposals are:</w:t>
      </w:r>
    </w:p>
    <w:p w14:paraId="67A41434">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AI/ML mobility, how to get the ground truth for FR1 test is related with channel model used in the test.</w:t>
      </w:r>
    </w:p>
    <w:p w14:paraId="253A2427">
      <w:pPr>
        <w:numPr>
          <w:ilvl w:val="0"/>
          <w:numId w:val="5"/>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AWGN is in use, the ground truth is available at TE</w:t>
      </w:r>
    </w:p>
    <w:p w14:paraId="5AC798EF">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If fading channel in use, FFS</w:t>
      </w:r>
    </w:p>
    <w:p w14:paraId="4A4CB7FA">
      <w:pPr>
        <w:spacing w:before="180" w:after="180" w:line="240" w:lineRule="exact"/>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for testing goal, it is proposed to follow previous agreements that the testing goal is to verify whether the minimum performance of AI/ML functionality/feature can be achieved.</w:t>
      </w:r>
    </w:p>
    <w:p w14:paraId="75B7CD6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FR1 time domain RRM measurement prediction and FR1 frequency domain RRM measurement prediction, at least TDL can be used for testing, FFS for AWGN.</w:t>
      </w:r>
    </w:p>
    <w:p w14:paraId="110A20B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FR2 spatial domain RRM measurement prediction, it is proposed to take the outcome of AI/ML BM as baseline. </w:t>
      </w:r>
    </w:p>
    <w:p w14:paraId="17DFF14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for inter-frequency domain prediction, it is proposed that at least 2 cells are needed as model input, since RAN2 focus on cluster based approach</w:t>
      </w:r>
    </w:p>
    <w:p w14:paraId="328611BE">
      <w:pPr>
        <w:spacing w:after="180" w:line="240" w:lineRule="exact"/>
        <w:rPr>
          <w:rFonts w:hint="eastAsia" w:ascii="Times New Roman" w:hAnsi="Times New Roman"/>
          <w:sz w:val="20"/>
          <w:szCs w:val="20"/>
        </w:rPr>
      </w:pPr>
      <w:bookmarkStart w:id="12" w:name="_GoBack"/>
      <w:bookmarkEnd w:id="12"/>
    </w:p>
    <w:p w14:paraId="0909EFCC">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FE89547">
      <w:pPr>
        <w:pStyle w:val="13"/>
        <w:framePr w:wrap="auto" w:vAnchor="margin" w:hAnchor="text" w:yAlign="inline"/>
        <w:numPr>
          <w:ilvl w:val="0"/>
          <w:numId w:val="6"/>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F99CC0F">
      <w:pPr>
        <w:pStyle w:val="13"/>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R4-250826</w:t>
      </w:r>
      <w:r>
        <w:rPr>
          <w:rFonts w:hint="eastAsia" w:ascii="Times" w:hAnsi="Times" w:eastAsia="宋体"/>
          <w:b w:val="0"/>
          <w:sz w:val="20"/>
          <w:lang w:val="en-US" w:eastAsia="zh-CN"/>
        </w:rPr>
        <w:t>9, WF on FS_NR_AIML_Mob_Part2, OPPO</w:t>
      </w:r>
    </w:p>
    <w:p w14:paraId="5D155597">
      <w:pPr>
        <w:pStyle w:val="13"/>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R4-2504901</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03C37C82">
      <w:pPr>
        <w:pStyle w:val="13"/>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679EF9FE">
      <w:pPr>
        <w:pStyle w:val="13"/>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R4-2502594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3EBB3267">
      <w:pPr>
        <w:pStyle w:val="13"/>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4462A2A7">
      <w:pPr>
        <w:pStyle w:val="13"/>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R4-2414323</w:t>
      </w:r>
      <w:r>
        <w:rPr>
          <w:rFonts w:hint="eastAsia" w:ascii="Times" w:hAnsi="Times" w:eastAsia="宋体"/>
          <w:b w:val="0"/>
          <w:sz w:val="20"/>
          <w:lang w:val="en-US" w:eastAsia="zh-CN"/>
        </w:rPr>
        <w:t>, WF on AI/ML, Qualcomm Incorporated</w:t>
      </w:r>
    </w:p>
    <w:p w14:paraId="634AEE24">
      <w:pPr>
        <w:pStyle w:val="13"/>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7CE58C5C">
      <w:pPr>
        <w:pStyle w:val="13"/>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56A47A8">
      <w:pPr>
        <w:pStyle w:val="13"/>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0C38F9A5">
      <w:pPr>
        <w:pStyle w:val="13"/>
        <w:framePr w:wrap="auto" w:vAnchor="margin" w:hAnchor="text" w:yAlign="inline"/>
        <w:ind w:right="400"/>
        <w:jc w:val="both"/>
        <w:rPr>
          <w:rFonts w:ascii="Times" w:hAnsi="Times" w:eastAsia="宋体"/>
          <w:b w:val="0"/>
          <w:sz w:val="20"/>
          <w:lang w:eastAsia="zh-CN"/>
        </w:rPr>
      </w:pPr>
    </w:p>
    <w:p w14:paraId="5AD85129">
      <w:pPr>
        <w:pStyle w:val="13"/>
        <w:framePr w:wrap="auto" w:vAnchor="margin" w:hAnchor="text" w:yAlign="inline"/>
        <w:ind w:right="400"/>
        <w:jc w:val="both"/>
        <w:rPr>
          <w:rFonts w:ascii="Times" w:hAnsi="Times" w:eastAsia="宋体"/>
          <w:b w:val="0"/>
          <w:sz w:val="20"/>
          <w:lang w:eastAsia="zh-CN"/>
        </w:rPr>
      </w:pPr>
    </w:p>
    <w:p w14:paraId="20399D51">
      <w:pPr>
        <w:pStyle w:val="13"/>
        <w:framePr w:wrap="auto" w:vAnchor="margin" w:hAnchor="text" w:yAlign="inline"/>
        <w:ind w:right="400"/>
        <w:jc w:val="both"/>
        <w:rPr>
          <w:rFonts w:hint="eastAsia" w:ascii="Times" w:hAnsi="Times" w:eastAsia="宋体"/>
          <w:b w:val="0"/>
          <w:sz w:val="20"/>
          <w:lang w:val="en-US" w:eastAsia="zh-CN"/>
        </w:rPr>
      </w:pPr>
    </w:p>
    <w:p w14:paraId="3E731C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022515"/>
    <w:multiLevelType w:val="singleLevel"/>
    <w:tmpl w:val="EA022515"/>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8B73482"/>
    <w:multiLevelType w:val="multilevel"/>
    <w:tmpl w:val="58B73482"/>
    <w:lvl w:ilvl="0" w:tentative="0">
      <w:start w:val="1"/>
      <w:numFmt w:val="bullet"/>
      <w:lvlText w:val=""/>
      <w:lvlJc w:val="left"/>
      <w:pPr>
        <w:tabs>
          <w:tab w:val="left" w:pos="0"/>
        </w:tabs>
        <w:ind w:left="936" w:hanging="360"/>
      </w:pPr>
      <w:rPr>
        <w:rFonts w:hint="default" w:ascii="Symbol" w:hAnsi="Symbol"/>
      </w:rPr>
    </w:lvl>
    <w:lvl w:ilvl="1" w:tentative="0">
      <w:start w:val="1"/>
      <w:numFmt w:val="bullet"/>
      <w:lvlText w:val="o"/>
      <w:lvlJc w:val="left"/>
      <w:pPr>
        <w:tabs>
          <w:tab w:val="left" w:pos="0"/>
        </w:tabs>
        <w:ind w:left="1656" w:hanging="360"/>
      </w:pPr>
      <w:rPr>
        <w:rFonts w:hint="default" w:ascii="Courier New" w:hAnsi="Courier New" w:cs="Courier New"/>
      </w:rPr>
    </w:lvl>
    <w:lvl w:ilvl="2" w:tentative="0">
      <w:start w:val="1"/>
      <w:numFmt w:val="bullet"/>
      <w:lvlText w:val=""/>
      <w:lvlJc w:val="left"/>
      <w:pPr>
        <w:tabs>
          <w:tab w:val="left" w:pos="0"/>
        </w:tabs>
        <w:ind w:left="2376" w:hanging="360"/>
      </w:pPr>
      <w:rPr>
        <w:rFonts w:hint="default" w:ascii="Wingdings" w:hAnsi="Wingdings"/>
      </w:rPr>
    </w:lvl>
    <w:lvl w:ilvl="3" w:tentative="0">
      <w:start w:val="1"/>
      <w:numFmt w:val="bullet"/>
      <w:lvlText w:val=""/>
      <w:lvlJc w:val="left"/>
      <w:pPr>
        <w:tabs>
          <w:tab w:val="left" w:pos="0"/>
        </w:tabs>
        <w:ind w:left="3096" w:hanging="360"/>
      </w:pPr>
      <w:rPr>
        <w:rFonts w:hint="default" w:ascii="Symbol" w:hAnsi="Symbol"/>
      </w:rPr>
    </w:lvl>
    <w:lvl w:ilvl="4" w:tentative="0">
      <w:start w:val="1"/>
      <w:numFmt w:val="bullet"/>
      <w:lvlText w:val="o"/>
      <w:lvlJc w:val="left"/>
      <w:pPr>
        <w:tabs>
          <w:tab w:val="left" w:pos="0"/>
        </w:tabs>
        <w:ind w:left="3816" w:hanging="360"/>
      </w:pPr>
      <w:rPr>
        <w:rFonts w:hint="default" w:ascii="Courier New" w:hAnsi="Courier New" w:cs="Courier New"/>
      </w:rPr>
    </w:lvl>
    <w:lvl w:ilvl="5" w:tentative="0">
      <w:start w:val="1"/>
      <w:numFmt w:val="bullet"/>
      <w:lvlText w:val=""/>
      <w:lvlJc w:val="left"/>
      <w:pPr>
        <w:tabs>
          <w:tab w:val="left" w:pos="0"/>
        </w:tabs>
        <w:ind w:left="4536" w:hanging="360"/>
      </w:pPr>
      <w:rPr>
        <w:rFonts w:hint="default" w:ascii="Wingdings" w:hAnsi="Wingdings"/>
      </w:rPr>
    </w:lvl>
    <w:lvl w:ilvl="6" w:tentative="0">
      <w:start w:val="1"/>
      <w:numFmt w:val="bullet"/>
      <w:lvlText w:val=""/>
      <w:lvlJc w:val="left"/>
      <w:pPr>
        <w:tabs>
          <w:tab w:val="left" w:pos="0"/>
        </w:tabs>
        <w:ind w:left="5256" w:hanging="360"/>
      </w:pPr>
      <w:rPr>
        <w:rFonts w:hint="default" w:ascii="Symbol" w:hAnsi="Symbol"/>
      </w:rPr>
    </w:lvl>
    <w:lvl w:ilvl="7" w:tentative="0">
      <w:start w:val="1"/>
      <w:numFmt w:val="bullet"/>
      <w:lvlText w:val="o"/>
      <w:lvlJc w:val="left"/>
      <w:pPr>
        <w:tabs>
          <w:tab w:val="left" w:pos="0"/>
        </w:tabs>
        <w:ind w:left="5976" w:hanging="360"/>
      </w:pPr>
      <w:rPr>
        <w:rFonts w:hint="default" w:ascii="Courier New" w:hAnsi="Courier New" w:cs="Courier New"/>
      </w:rPr>
    </w:lvl>
    <w:lvl w:ilvl="8" w:tentative="0">
      <w:start w:val="1"/>
      <w:numFmt w:val="bullet"/>
      <w:lvlText w:val=""/>
      <w:lvlJc w:val="left"/>
      <w:pPr>
        <w:tabs>
          <w:tab w:val="left" w:pos="0"/>
        </w:tabs>
        <w:ind w:left="6696"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23534"/>
    <w:rsid w:val="039B37C7"/>
    <w:rsid w:val="03B64756"/>
    <w:rsid w:val="05467D5B"/>
    <w:rsid w:val="05581271"/>
    <w:rsid w:val="06FC31AA"/>
    <w:rsid w:val="07067916"/>
    <w:rsid w:val="084B203D"/>
    <w:rsid w:val="089944A9"/>
    <w:rsid w:val="095F3199"/>
    <w:rsid w:val="0A6A1E76"/>
    <w:rsid w:val="0AB944A3"/>
    <w:rsid w:val="0BD22464"/>
    <w:rsid w:val="0C360518"/>
    <w:rsid w:val="0D0C09BA"/>
    <w:rsid w:val="0D3650B0"/>
    <w:rsid w:val="0D4E5761"/>
    <w:rsid w:val="10E31976"/>
    <w:rsid w:val="11651119"/>
    <w:rsid w:val="138C7281"/>
    <w:rsid w:val="13E54515"/>
    <w:rsid w:val="13F579BB"/>
    <w:rsid w:val="14B41806"/>
    <w:rsid w:val="14EF7E4B"/>
    <w:rsid w:val="154B4C98"/>
    <w:rsid w:val="16282F80"/>
    <w:rsid w:val="17722603"/>
    <w:rsid w:val="17795811"/>
    <w:rsid w:val="17AD1EBF"/>
    <w:rsid w:val="1A4F3CB5"/>
    <w:rsid w:val="1E262080"/>
    <w:rsid w:val="1EA13FCF"/>
    <w:rsid w:val="1F4B69E7"/>
    <w:rsid w:val="1FB44D91"/>
    <w:rsid w:val="20B96BBD"/>
    <w:rsid w:val="20E821F8"/>
    <w:rsid w:val="21F229A5"/>
    <w:rsid w:val="222F6581"/>
    <w:rsid w:val="22F84732"/>
    <w:rsid w:val="24E9569E"/>
    <w:rsid w:val="25496E57"/>
    <w:rsid w:val="259A7E81"/>
    <w:rsid w:val="26A3466F"/>
    <w:rsid w:val="288D0D17"/>
    <w:rsid w:val="291E49C7"/>
    <w:rsid w:val="296A6325"/>
    <w:rsid w:val="2B6D12EE"/>
    <w:rsid w:val="2BD36B73"/>
    <w:rsid w:val="2C0003B4"/>
    <w:rsid w:val="2C390157"/>
    <w:rsid w:val="2C963514"/>
    <w:rsid w:val="2CC97A35"/>
    <w:rsid w:val="2D1C37DD"/>
    <w:rsid w:val="2EE56DFD"/>
    <w:rsid w:val="2F0E7FC2"/>
    <w:rsid w:val="31817AFF"/>
    <w:rsid w:val="31B53264"/>
    <w:rsid w:val="32843DF1"/>
    <w:rsid w:val="3702134C"/>
    <w:rsid w:val="37EA17DA"/>
    <w:rsid w:val="39A706A6"/>
    <w:rsid w:val="3AF811CC"/>
    <w:rsid w:val="411917F4"/>
    <w:rsid w:val="41395AA3"/>
    <w:rsid w:val="41597CC1"/>
    <w:rsid w:val="42566B61"/>
    <w:rsid w:val="45251780"/>
    <w:rsid w:val="457B600C"/>
    <w:rsid w:val="486C7D0F"/>
    <w:rsid w:val="48BD345D"/>
    <w:rsid w:val="495B36DC"/>
    <w:rsid w:val="4A513E14"/>
    <w:rsid w:val="4EE51018"/>
    <w:rsid w:val="4F01352B"/>
    <w:rsid w:val="4F676753"/>
    <w:rsid w:val="4FEB696F"/>
    <w:rsid w:val="521A547C"/>
    <w:rsid w:val="54D33936"/>
    <w:rsid w:val="561E00D5"/>
    <w:rsid w:val="56582839"/>
    <w:rsid w:val="59A65848"/>
    <w:rsid w:val="5A1C50E2"/>
    <w:rsid w:val="5C491F27"/>
    <w:rsid w:val="5EF552A7"/>
    <w:rsid w:val="5F952C60"/>
    <w:rsid w:val="61DF3A9F"/>
    <w:rsid w:val="62D556ED"/>
    <w:rsid w:val="63D0170C"/>
    <w:rsid w:val="64DF4CFA"/>
    <w:rsid w:val="676E7F3D"/>
    <w:rsid w:val="67A4673A"/>
    <w:rsid w:val="684079C6"/>
    <w:rsid w:val="68D8170E"/>
    <w:rsid w:val="690E1BE8"/>
    <w:rsid w:val="6A6136E2"/>
    <w:rsid w:val="6AA638F9"/>
    <w:rsid w:val="6C642F64"/>
    <w:rsid w:val="6E8F758B"/>
    <w:rsid w:val="71A82806"/>
    <w:rsid w:val="73C17630"/>
    <w:rsid w:val="773A3D18"/>
    <w:rsid w:val="77B91A3C"/>
    <w:rsid w:val="77F160D3"/>
    <w:rsid w:val="79EA0896"/>
    <w:rsid w:val="7D8D6888"/>
    <w:rsid w:val="7DB24046"/>
    <w:rsid w:val="7F714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 w:type="paragraph" w:customStyle="1" w:styleId="16">
    <w:name w:val="B1"/>
    <w:basedOn w:val="1"/>
    <w:qFormat/>
    <w:uiPriority w:val="0"/>
    <w:pPr>
      <w:ind w:left="568" w:hanging="284"/>
    </w:pPr>
  </w:style>
  <w:style w:type="table" w:customStyle="1" w:styleId="17">
    <w:name w:val="SGS Table Basic 11"/>
    <w:basedOn w:val="9"/>
    <w:qFormat/>
    <w:uiPriority w:val="5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CMCC-RAN4#116</cp:lastModifiedBy>
  <dcterms:modified xsi:type="dcterms:W3CDTF">2025-08-15T08:34:27Z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